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3DB92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5000" w:type="pct"/>
        <w:tblCellSpacing w:w="0" w:type="dxa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shd w:val="clear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0" w:type="auto"/>
            <w:shd w:val="clear" w:color="auto" w:fill="FFFFFF"/>
            <w:vAlign w:val="center"/>
          </w:tcPr>
          <w:p>
            <w:pPr>
              <w:spacing w:lineRule="auto" w:line="312" w:before="30" w:after="30"/>
              <w:ind w:left="30" w:right="30"/>
              <w:jc w:val="center"/>
              <w:outlineLvl w:val="0"/>
              <w:rPr>
                <w:rFonts w:ascii="Comic Sans MS" w:hAnsi="Comic Sans MS"/>
                <w:b w:val="1"/>
                <w:i w:val="1"/>
                <w:color w:val="965621"/>
                <w:sz w:val="40"/>
                <w:shd w:val="nil" w:fill="auto"/>
              </w:rPr>
            </w:pPr>
            <w:bookmarkStart w:id="0" w:name="_dx_frag_StartFragment"/>
            <w:bookmarkEnd w:id="0"/>
            <w:r>
              <w:rPr>
                <w:rFonts w:ascii="Bookman Old Style" w:hAnsi="Bookman Old Style"/>
                <w:b w:val="1"/>
                <w:i w:val="1"/>
                <w:color w:val="800000"/>
                <w:sz w:val="48"/>
                <w:shd w:val="nil" w:fill="auto"/>
              </w:rPr>
              <w:t>Программы реализуемые в ДОУ</w:t>
            </w:r>
          </w:p>
        </w:tc>
      </w:tr>
      <w:tr>
        <w:trPr>
          <w:trHeight w:hRule="atLeast" w:val="15"/>
        </w:trPr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vAlign w:val="top"/>
          </w:tcPr>
          <w:tbl>
            <w:tblPr>
              <w:tblW w:w="0" w:type="auto"/>
              <w:jc w:val="right"/>
              <w:tblCellSpacing w:w="0" w:type="dxa"/>
              <w:tblInd w:w="0" w:type="dxa"/>
              <w:tblBorders>
                <w:insideH w:val="none" w:sz="0" w:space="0" w:shadow="0" w:frame="0" w:color="auto"/>
                <w:insideV w:val="none" w:sz="0" w:space="0" w:shadow="0" w:frame="0" w:color="auto"/>
              </w:tblBorders>
              <w:tblLayout w:type="autofit"/>
              <w:tblCellMar>
                <w:top w:w="60" w:type="dxa"/>
                <w:left w:w="60" w:type="dxa"/>
                <w:bottom w:w="60" w:type="dxa"/>
                <w:right w:w="60" w:type="dxa"/>
              </w:tblCellMar>
            </w:tblPr>
            <w:tblGrid/>
            <w:tr>
              <w:tc>
                <w:tcPr>
                  <w:tcW w:w="0" w:type="auto"/>
                  <w:vAlign w:val="center"/>
                </w:tcPr>
                <w:p>
                  <w:pPr>
                    <w:spacing w:lineRule="auto" w:line="312"/>
                    <w:ind w:left="0" w:right="0"/>
                  </w:pPr>
                  <w:bookmarkStart w:id="1" w:name="top"/>
                  <w:bookmarkEnd w:id="1"/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lineRule="auto" w:line="312"/>
                    <w:ind w:left="0" w:right="0"/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lineRule="auto" w:line="312"/>
                    <w:ind w:left="0" w:right="0"/>
                  </w:pPr>
                </w:p>
              </w:tc>
            </w:tr>
          </w:tbl>
          <w:p>
            <w:pPr>
              <w:spacing w:lineRule="auto" w:line="312"/>
              <w:ind w:left="0" w:right="0"/>
              <w:jc w:val="right"/>
            </w:pPr>
          </w:p>
        </w:tc>
      </w:tr>
      <w:tr>
        <w:trPr>
          <w:trHeight w:hRule="atLeast" w:val="79425"/>
        </w:trPr>
        <w:tc>
          <w:tcPr>
            <w:tcW w:w="1306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>
            <w:pPr>
              <w:spacing w:lineRule="auto" w:line="312" w:before="0" w:after="150"/>
              <w:ind w:left="0" w:right="0"/>
              <w:jc w:val="center"/>
              <w:rPr>
                <w:rFonts w:ascii="Arial" w:hAnsi="Arial"/>
                <w:sz w:val="20"/>
                <w:shd w:val="nil" w:fill="auto"/>
              </w:rPr>
            </w:pPr>
            <w:bookmarkStart w:id="2" w:name="TEXT_DIV"/>
            <w:bookmarkEnd w:id="2"/>
            <w:r>
              <w:rPr>
                <w:rFonts w:ascii="Arial" w:hAnsi="Arial"/>
                <w:sz w:val="20"/>
                <w:shd w:val="nil" w:fill="auto"/>
              </w:rPr>
              <w:t>  </w:t>
            </w:r>
            <w:r>
              <w:rPr>
                <w:rFonts w:ascii="Bookman Old Style" w:hAnsi="Bookman Old Style"/>
                <w:b w:val="1"/>
                <w:color w:val="000000"/>
                <w:sz w:val="24"/>
                <w:shd w:val="nil" w:fill="auto"/>
              </w:rPr>
              <w:t>Аннотация</w:t>
            </w:r>
          </w:p>
          <w:p>
            <w:pPr>
              <w:spacing w:lineRule="auto" w:line="312" w:before="0" w:after="150"/>
              <w:ind w:left="0" w:right="0"/>
              <w:jc w:val="center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man Old Style" w:hAnsi="Bookman Old Style"/>
                <w:b w:val="1"/>
                <w:color w:val="000000"/>
                <w:sz w:val="24"/>
                <w:shd w:val="nil" w:fill="auto"/>
              </w:rPr>
              <w:t>основной образовательной программы   муниципального </w:t>
            </w:r>
            <w:r>
              <w:rPr>
                <w:rFonts w:ascii="Bookman Old Style" w:hAnsi="Bookman Old Style"/>
                <w:b w:val="1"/>
                <w:color w:val="000000"/>
                <w:sz w:val="24"/>
                <w:shd w:val="nil" w:fill="auto"/>
              </w:rPr>
              <w:t>казен</w:t>
            </w:r>
            <w:r>
              <w:rPr>
                <w:rFonts w:ascii="Bookman Old Style" w:hAnsi="Bookman Old Style"/>
                <w:b w:val="1"/>
                <w:color w:val="000000"/>
                <w:sz w:val="24"/>
                <w:shd w:val="nil" w:fill="auto"/>
              </w:rPr>
              <w:t xml:space="preserve">ного дошкольного образовательного учреждения  детского сада </w:t>
            </w:r>
            <w:r>
              <w:rPr>
                <w:rFonts w:ascii="Bookman Old Style" w:hAnsi="Bookman Old Style"/>
                <w:b w:val="1"/>
                <w:color w:val="000000"/>
                <w:sz w:val="24"/>
                <w:shd w:val="nil" w:fill="auto"/>
              </w:rPr>
              <w:t>.</w:t>
            </w:r>
            <w:r>
              <w:rPr>
                <w:rFonts w:ascii="Bookman Old Style" w:hAnsi="Bookman Old Style"/>
                <w:b w:val="1"/>
                <w:color w:val="000000"/>
                <w:sz w:val="24"/>
                <w:shd w:val="nil" w:fill="auto"/>
              </w:rPr>
              <w:t> </w:t>
            </w:r>
            <w:r>
              <w:rPr>
                <w:rFonts w:ascii="Bookman Old Style" w:hAnsi="Bookman Old Style"/>
                <w:color w:val="000000"/>
                <w:sz w:val="24"/>
                <w:shd w:val="nil" w:fill="auto"/>
              </w:rPr>
              <w:t>   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 xml:space="preserve">Образовательная программа дошкольного образования </w:t>
            </w: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разработана в соответствии с требованиями нормативно-правовых документов: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1.      Закон №273-ФЗ от 29.12.2012 «Об образовании в Российской Федерации».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2.      Санитарно-эпидемиологические требования к устройству, содержанию и организации режима работы в дошкольных организациях  Санитарно-эпидемиологические правила и нормативы СанПиН 2.4.1.3049-13.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3.      Приказ Министерства образования и науки Российской Федерации от 17. 10. 2013 года № 1155 «Об утверждении федерального государственного стандарта дошкольного образования».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Программа включает  три основных раздела: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Целевой (пояснительная записка, планируемые результаты освоения программы).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Содержательный (общее содержание программы, обеспечивающее полноценное развитие детей:  описание образовательной деятельности в соответствии с направлениями развития ребенка, представленными в пяти образовательных областях; описание вариативных форм, способов, методов и средств реализации программы с учетом возрастных особенностей детей; содержание коррекционной работы и специальные условия для получения образования детьми с ОВЗ).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Организационный (описание материально-технического обеспечения программы, обеспеченность методическими материалами и средствами обучения и воспитания, распорядок и /или режим дня, особенности традиционных событий, праздников, мероприятий, особенности организации развивающей предметно-пространственной).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Содержание обязательной части выстроено с учетом доработанной авторами в соответствии с требованиями ФГОС</w:t>
            </w: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.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В части, формируемой участниками образовательного процесса, учитывалось приоритетное направление, региональный компонент. При планировании и организации образовательного процесса используются следующие парциальные программы: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В работе по коррекции речи используются: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 xml:space="preserve"> «Программа логопедической работы по преодолению фонетико-фонематического недоразвития у детей» 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 xml:space="preserve">«Программа логопедической работы по преодолению общего нарушения речи у детей» 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Программа направлена на:</w:t>
            </w:r>
          </w:p>
          <w:p>
            <w:pPr>
              <w:numPr>
                <w:ilvl w:val="0"/>
                <w:numId w:val="1"/>
              </w:numPr>
              <w:spacing w:lineRule="auto" w:line="312" w:before="0" w:after="0"/>
              <w:ind w:hanging="360" w:left="1095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  создание условий развития детей,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      </w:r>
          </w:p>
          <w:p>
            <w:pPr>
              <w:numPr>
                <w:ilvl w:val="0"/>
                <w:numId w:val="1"/>
              </w:numPr>
              <w:spacing w:lineRule="auto" w:line="312" w:before="0" w:after="0"/>
              <w:ind w:hanging="360" w:left="1095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 создание развивающей образовательной среды, которая представляет собой систему условий социализации и индивидуализации детей.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Программа обеспечивает развитие личности, мотивации и способностей детей в различных видах деятельности по следующим направлениям развития и образования детей: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-        социально-коммуникативное развитие;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-        познавательное развитие;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-        речевое развитие;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-        художественно-эстетическое развитие;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-        физическое развитие.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В программе учитываются: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- индивидуальные потребности ребенка, связанные с его жизненной ситуацией и состоянием здоровья.</w:t>
            </w:r>
          </w:p>
          <w:p>
            <w:pPr>
              <w:spacing w:lineRule="auto" w:line="312" w:before="0" w:after="150"/>
              <w:ind w:left="0" w:right="0"/>
              <w:rPr>
                <w:rFonts w:ascii="Arial" w:hAnsi="Arial"/>
                <w:sz w:val="20"/>
                <w:shd w:val="nil" w:fill="auto"/>
              </w:rPr>
            </w:pPr>
            <w:r>
              <w:rPr>
                <w:rFonts w:ascii="Book Antiqua" w:hAnsi="Book Antiqua"/>
                <w:b w:val="1"/>
                <w:i w:val="1"/>
                <w:color w:val="000080"/>
                <w:sz w:val="24"/>
                <w:shd w:val="nil" w:fill="auto"/>
              </w:rPr>
              <w:t>- возможности освоения ребенком Программы на разных этапах ее реализации.</w:t>
            </w:r>
          </w:p>
        </w:tc>
      </w:tr>
    </w:tbl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4FA9807"/>
    <w:multiLevelType w:val="hybridMultilevel"/>
    <w:lvl w:ilvl="0" w:tplc="7D144CC3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46EFFC2D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5A5898F4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07C2A442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3197BB39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7117992E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34EF03ED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1247175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39995627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